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1179"/>
        <w:gridCol w:w="628"/>
        <w:gridCol w:w="163"/>
        <w:gridCol w:w="249"/>
        <w:gridCol w:w="600"/>
        <w:gridCol w:w="689"/>
        <w:gridCol w:w="297"/>
        <w:gridCol w:w="2538"/>
      </w:tblGrid>
      <w:tr w:rsidR="00BE6A64" w:rsidRPr="003631A0" w:rsidTr="00AF6676">
        <w:tc>
          <w:tcPr>
            <w:tcW w:w="5778" w:type="dxa"/>
            <w:gridSpan w:val="4"/>
            <w:shd w:val="clear" w:color="auto" w:fill="BFBFBF" w:themeFill="background1" w:themeFillShade="BF"/>
          </w:tcPr>
          <w:p w:rsidR="00BE6A64" w:rsidRPr="003631A0" w:rsidRDefault="00BE6A64" w:rsidP="004A38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4A388D">
              <w:rPr>
                <w:b w:val="0"/>
                <w:sz w:val="22"/>
                <w:szCs w:val="22"/>
              </w:rPr>
              <w:t>PATOLOJİ</w:t>
            </w:r>
          </w:p>
        </w:tc>
        <w:tc>
          <w:tcPr>
            <w:tcW w:w="4536" w:type="dxa"/>
            <w:gridSpan w:val="6"/>
            <w:shd w:val="clear" w:color="auto" w:fill="BFBFBF" w:themeFill="background1" w:themeFillShade="BF"/>
          </w:tcPr>
          <w:p w:rsidR="00BE6A64" w:rsidRPr="003631A0" w:rsidRDefault="00BE6A64" w:rsidP="004A388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14ECC">
              <w:rPr>
                <w:b w:val="0"/>
                <w:sz w:val="22"/>
                <w:szCs w:val="22"/>
              </w:rPr>
              <w:t>1</w:t>
            </w:r>
            <w:r w:rsidR="004A388D">
              <w:rPr>
                <w:b w:val="0"/>
                <w:sz w:val="22"/>
                <w:szCs w:val="22"/>
              </w:rPr>
              <w:t>32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5163E7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</w:t>
            </w:r>
            <w:r w:rsidR="005163E7">
              <w:rPr>
                <w:b w:val="0"/>
                <w:sz w:val="22"/>
                <w:szCs w:val="22"/>
              </w:rPr>
              <w:t>Bahar</w:t>
            </w:r>
            <w:r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1364D1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1364D1">
              <w:rPr>
                <w:b w:val="0"/>
                <w:sz w:val="22"/>
                <w:szCs w:val="22"/>
              </w:rPr>
              <w:t>2</w:t>
            </w:r>
            <w:r w:rsidRPr="003631A0">
              <w:rPr>
                <w:b w:val="0"/>
                <w:sz w:val="22"/>
                <w:szCs w:val="22"/>
              </w:rPr>
              <w:t xml:space="preserve"> saat </w:t>
            </w:r>
            <w:r w:rsidR="001364D1">
              <w:rPr>
                <w:b w:val="0"/>
                <w:sz w:val="22"/>
                <w:szCs w:val="22"/>
              </w:rPr>
              <w:t>teorik</w:t>
            </w:r>
          </w:p>
        </w:tc>
      </w:tr>
      <w:tr w:rsidR="00363279" w:rsidRPr="003631A0" w:rsidTr="00AF6676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844" w:type="dxa"/>
            <w:gridSpan w:val="3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2835" w:type="dxa"/>
            <w:gridSpan w:val="2"/>
          </w:tcPr>
          <w:p w:rsidR="00BE6A64" w:rsidRPr="003631A0" w:rsidRDefault="001364D1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4A388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4A388D" w:rsidRDefault="004A388D" w:rsidP="004A388D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Ö</w:t>
            </w:r>
            <w:r w:rsidRPr="004A388D">
              <w:rPr>
                <w:b w:val="0"/>
                <w:sz w:val="22"/>
                <w:szCs w:val="22"/>
              </w:rPr>
              <w:t xml:space="preserve">ğrencilere genel patoloji ve patoloji </w:t>
            </w:r>
            <w:proofErr w:type="spellStart"/>
            <w:r w:rsidRPr="004A388D">
              <w:rPr>
                <w:b w:val="0"/>
                <w:sz w:val="22"/>
                <w:szCs w:val="22"/>
              </w:rPr>
              <w:t>laboratuvarının</w:t>
            </w:r>
            <w:proofErr w:type="spellEnd"/>
            <w:r w:rsidRPr="004A388D">
              <w:rPr>
                <w:b w:val="0"/>
                <w:sz w:val="22"/>
                <w:szCs w:val="22"/>
              </w:rPr>
              <w:t xml:space="preserve"> işleyişi hakkında bilgi vermek ve insan vücudunda organ, doku ve hücrelerde, hastalık halinde meydana gelen değişiklikleri tanınmasını kavratmaktır</w:t>
            </w:r>
            <w:proofErr w:type="gramStart"/>
            <w:r w:rsidRPr="004A388D">
              <w:rPr>
                <w:b w:val="0"/>
                <w:sz w:val="22"/>
                <w:szCs w:val="22"/>
              </w:rPr>
              <w:t>..</w:t>
            </w:r>
            <w:proofErr w:type="gramEnd"/>
            <w:r w:rsidRPr="004A388D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4A388D" w:rsidRDefault="004A388D" w:rsidP="00AF6676">
            <w:pPr>
              <w:spacing w:line="240" w:lineRule="auto"/>
              <w:rPr>
                <w:b w:val="0"/>
                <w:szCs w:val="22"/>
              </w:rPr>
            </w:pPr>
            <w:r w:rsidRPr="004A388D">
              <w:rPr>
                <w:b w:val="0"/>
                <w:sz w:val="22"/>
                <w:szCs w:val="22"/>
              </w:rPr>
              <w:t xml:space="preserve">Genel patolojide kavramlar, hücresel zedelenme ve adaptasyon, akut ve kronik </w:t>
            </w:r>
            <w:proofErr w:type="spellStart"/>
            <w:r w:rsidRPr="004A388D">
              <w:rPr>
                <w:b w:val="0"/>
                <w:sz w:val="22"/>
                <w:szCs w:val="22"/>
              </w:rPr>
              <w:t>inflamasyon</w:t>
            </w:r>
            <w:proofErr w:type="spellEnd"/>
            <w:r w:rsidRPr="004A388D">
              <w:rPr>
                <w:b w:val="0"/>
                <w:sz w:val="22"/>
                <w:szCs w:val="22"/>
              </w:rPr>
              <w:t>, hasara karşı hücresel cevap ve yara iyileşmesi, sıvı ve elektrolit dengesi ve dolaşım bozuklukları, hastalıkların etiyolojisi ve gelişme mekanizmaları, patolojinin kullandığı yöntemler.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4A388D" w:rsidRDefault="004A388D" w:rsidP="00AF6676">
            <w:pPr>
              <w:spacing w:line="240" w:lineRule="auto"/>
              <w:rPr>
                <w:b w:val="0"/>
                <w:szCs w:val="22"/>
              </w:rPr>
            </w:pPr>
            <w:r w:rsidRPr="004A388D">
              <w:rPr>
                <w:b w:val="0"/>
                <w:sz w:val="22"/>
                <w:szCs w:val="22"/>
              </w:rPr>
              <w:t>Bu dersin sonunda öğrenci; Patolojideki temel kavramları bilir, Patolojinin kullandığı yöntemler hakkında bilgi sahibi olur, Hastalıkların etiyolojisini ve gelişme mekanizmalarını bilir, Hastalıkların tedavisinde patolojiyi tanımlar.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1364D1" w:rsidRDefault="004A388D" w:rsidP="00D95A0C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  <w:r>
              <w:t xml:space="preserve">Patolojiye Giriş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Hücre Zedelenmesi ve Nekroz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Akut ve Kronik İltihap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Akut ve Kronik İltihap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Hasara Karşı Hücresel Cevap ve Yara İyileşmesi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Hasara Karşı Hücresel Cevap ve Yara İyileşmesi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Sıvı ve Elektrolit Dengesi ve Dolaşım Bozuklukları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Sıvı ve Elektrolit Dengesi ve Dolaşım Bozuklukları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Genetik Hastalıklar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4A388D" w:rsidP="00BE6A64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D95A0C">
              <w:rPr>
                <w:b w:val="0"/>
                <w:i/>
                <w:sz w:val="22"/>
                <w:szCs w:val="22"/>
              </w:rPr>
              <w:t>Neoplazi</w:t>
            </w:r>
            <w:proofErr w:type="spellEnd"/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D95A0C" w:rsidP="001364D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D95A0C">
              <w:rPr>
                <w:b w:val="0"/>
                <w:i/>
                <w:sz w:val="22"/>
                <w:szCs w:val="22"/>
              </w:rPr>
              <w:t>Neoplazi</w:t>
            </w:r>
            <w:proofErr w:type="spellEnd"/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D95A0C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D95A0C">
              <w:rPr>
                <w:b w:val="0"/>
                <w:i/>
                <w:sz w:val="22"/>
                <w:szCs w:val="22"/>
              </w:rPr>
              <w:t>İmmunolojik</w:t>
            </w:r>
            <w:proofErr w:type="spellEnd"/>
            <w:r w:rsidRPr="00D95A0C">
              <w:rPr>
                <w:b w:val="0"/>
                <w:i/>
                <w:sz w:val="22"/>
                <w:szCs w:val="22"/>
              </w:rPr>
              <w:t xml:space="preserve"> Sistem ve Hastalıkları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D95A0C" w:rsidP="00363279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Genel tekrar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D95A0C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D95A0C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1364D1" w:rsidP="00BE6A64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56sa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C" w:rsidRPr="00D95A0C" w:rsidRDefault="00D95A0C" w:rsidP="00045B84">
            <w:pPr>
              <w:spacing w:line="240" w:lineRule="auto"/>
              <w:rPr>
                <w:b w:val="0"/>
                <w:szCs w:val="22"/>
              </w:rPr>
            </w:pPr>
            <w:r w:rsidRPr="00D95A0C">
              <w:rPr>
                <w:b w:val="0"/>
                <w:sz w:val="22"/>
                <w:szCs w:val="22"/>
              </w:rPr>
              <w:t xml:space="preserve">1. </w:t>
            </w:r>
            <w:proofErr w:type="spellStart"/>
            <w:r w:rsidRPr="00D95A0C">
              <w:rPr>
                <w:b w:val="0"/>
                <w:sz w:val="22"/>
                <w:szCs w:val="22"/>
              </w:rPr>
              <w:t>Mocan</w:t>
            </w:r>
            <w:proofErr w:type="spellEnd"/>
            <w:r w:rsidRPr="00D95A0C">
              <w:rPr>
                <w:b w:val="0"/>
                <w:sz w:val="22"/>
                <w:szCs w:val="22"/>
              </w:rPr>
              <w:t xml:space="preserve"> Kuzey G</w:t>
            </w:r>
            <w:proofErr w:type="gramStart"/>
            <w:r w:rsidRPr="00D95A0C">
              <w:rPr>
                <w:b w:val="0"/>
                <w:sz w:val="22"/>
                <w:szCs w:val="22"/>
              </w:rPr>
              <w:t>.,</w:t>
            </w:r>
            <w:proofErr w:type="gramEnd"/>
            <w:r w:rsidRPr="00D95A0C">
              <w:rPr>
                <w:b w:val="0"/>
                <w:sz w:val="22"/>
                <w:szCs w:val="22"/>
              </w:rPr>
              <w:t xml:space="preserve"> (2007). Temel Patoloji, 1. baskı </w:t>
            </w:r>
          </w:p>
          <w:p w:rsidR="00BE6A64" w:rsidRPr="003631A0" w:rsidRDefault="00D95A0C" w:rsidP="00045B84">
            <w:pPr>
              <w:spacing w:line="240" w:lineRule="auto"/>
              <w:rPr>
                <w:b w:val="0"/>
                <w:szCs w:val="22"/>
              </w:rPr>
            </w:pPr>
            <w:r w:rsidRPr="00D95A0C">
              <w:rPr>
                <w:b w:val="0"/>
                <w:sz w:val="22"/>
                <w:szCs w:val="22"/>
              </w:rPr>
              <w:t xml:space="preserve">2. Kumar V, Abbas A, </w:t>
            </w:r>
            <w:proofErr w:type="spellStart"/>
            <w:r w:rsidRPr="00D95A0C">
              <w:rPr>
                <w:b w:val="0"/>
                <w:sz w:val="22"/>
                <w:szCs w:val="22"/>
              </w:rPr>
              <w:t>Fausto</w:t>
            </w:r>
            <w:proofErr w:type="spellEnd"/>
            <w:r w:rsidRPr="00D95A0C">
              <w:rPr>
                <w:b w:val="0"/>
                <w:sz w:val="22"/>
                <w:szCs w:val="22"/>
              </w:rPr>
              <w:t xml:space="preserve"> N, 2009; </w:t>
            </w:r>
            <w:proofErr w:type="spellStart"/>
            <w:r w:rsidRPr="00D95A0C">
              <w:rPr>
                <w:b w:val="0"/>
                <w:sz w:val="22"/>
                <w:szCs w:val="22"/>
              </w:rPr>
              <w:t>Robbins</w:t>
            </w:r>
            <w:proofErr w:type="spellEnd"/>
            <w:r w:rsidRPr="00D95A0C">
              <w:rPr>
                <w:b w:val="0"/>
                <w:sz w:val="22"/>
                <w:szCs w:val="22"/>
              </w:rPr>
              <w:t xml:space="preserve"> ve </w:t>
            </w:r>
            <w:proofErr w:type="spellStart"/>
            <w:r w:rsidRPr="00D95A0C">
              <w:rPr>
                <w:b w:val="0"/>
                <w:sz w:val="22"/>
                <w:szCs w:val="22"/>
              </w:rPr>
              <w:t>Cotran</w:t>
            </w:r>
            <w:proofErr w:type="spellEnd"/>
            <w:r w:rsidRPr="00D95A0C">
              <w:rPr>
                <w:b w:val="0"/>
                <w:sz w:val="22"/>
                <w:szCs w:val="22"/>
              </w:rPr>
              <w:t xml:space="preserve"> Hastalığın Patolojik Temeli, Ankara (çeviri editörü: Sav A.)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1364D1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AF6676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AF6676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760C2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63E7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AF6676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4ECC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A0C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2015-08-06T10:38:00Z</dcterms:created>
  <dcterms:modified xsi:type="dcterms:W3CDTF">2015-08-10T07:11:00Z</dcterms:modified>
</cp:coreProperties>
</file>